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губернатора Еврейской автономной области от 11.12.2014 № 426 «О Штабе по обеспечению безопасности электроснабжения потребителей Еврейской автономной области» </w:t>
      </w:r>
      <w:r/>
    </w:p>
    <w:p>
      <w:pPr>
        <w:ind w:firstLine="709"/>
        <w:jc w:val="both"/>
        <w:tabs>
          <w:tab w:val="left" w:pos="24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tabs>
          <w:tab w:val="left" w:pos="24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pStyle w:val="8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губернатора Еврейской автономной области от 11.12.2014 № 426 «О Штабе по обеспечению безопасности электроснабжения потребителей Еврейской автономной области» следующие изменения:</w:t>
      </w:r>
      <w:r/>
    </w:p>
    <w:p>
      <w:pPr>
        <w:pStyle w:val="8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1.1. Пункт 3 признать утратившим силу.</w:t>
      </w:r>
      <w:r/>
    </w:p>
    <w:p>
      <w:pPr>
        <w:pStyle w:val="8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1.2. </w:t>
      </w:r>
      <w:hyperlink r:id="rId13" w:tooltip="consultantplus://offline/ref=44D20D643E39F3B0775C6BC10651DF65E27C5C351A938BE01423B3026FD60A9E38996061B2C0A06E0031A65AFEFA819DD16992050409154E9F3C4FL6MBG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Штаба по обеспечению безопасности электроснабжения потребителей Еврейской автономной области, утвержденный вышеуказанным постановлением, изложить в следующей редакции:</w:t>
      </w:r>
      <w:r/>
    </w:p>
    <w:p>
      <w:pPr>
        <w:pStyle w:val="883"/>
        <w:jc w:val="center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«Состав</w:t>
      </w:r>
      <w:r/>
    </w:p>
    <w:p>
      <w:pPr>
        <w:pStyle w:val="8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Штаба по обеспечению безопасности электроснабжения</w:t>
      </w:r>
      <w:r/>
    </w:p>
    <w:p>
      <w:pPr>
        <w:pStyle w:val="8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потребителей Еврейской автономной области</w:t>
      </w:r>
      <w:r/>
    </w:p>
    <w:p>
      <w:pPr>
        <w:pStyle w:val="8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Штаба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области по вопросам функционирования и развития транспорта, энергетики, строительства и архитектуры, дорожного и жилищно-коммунального хозяйства;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Штаба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департамента жилищно-коммунального хозяйства и энергетики правительства Еврейской автономной области;</w:t>
            </w:r>
            <w:r/>
          </w:p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Штаба</w:t>
            </w:r>
            <w:r/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Штаба: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– начальник отдела топливно-энергетического комплекса департамента жилищно-коммунального хозяйства и энергетики правительства Еврейской автономной области.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Главного управления МЧС России по Еврейской автономной области (по защите, мониторингу и предупреждению чрезвычайных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ситуаций)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 начальник   отдела гражданской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согласованию);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филиала АО «Системный оператор Единой энергетической системы» «Региональное диспетчерское управление энергосистемы Хабаровского края и Еврейской автономной области» (по согласованию);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структурного подразделения «Биробиджанская ТЭЦ» филиала «Хабаровская генерация» АО «Дальневосточная генерирующая компания» (по согласованию);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филиала ПАО «</w:t>
            </w:r>
            <w:r>
              <w:rPr>
                <w:rStyle w:val="886"/>
                <w:rFonts w:ascii="Times New Roman" w:hAnsi="Times New Roman" w:cs="Times New Roman"/>
                <w:sz w:val="28"/>
                <w:szCs w:val="28"/>
              </w:rPr>
              <w:t xml:space="preserve">Федеральная сетевая компания Единой энергетической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Хабаровского предприятия Магистральных электрических сетей (по согласованию);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Межрайонного отделения ЕАО филиала ПАО «Дальневосточная энергетическая компания»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ЕАО» (по согласованию);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главного инженера Дальневосточной железной дороги – филиала ОАО «Российские железные дороги» (по согласованию);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Биробиджанского отдела государственного энергетического надзора и надзора за         опасными     производственными       объектами Дальневосточного          управления       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согласованию);</w:t>
            </w:r>
            <w:r/>
          </w:p>
        </w:tc>
      </w:tr>
      <w:tr>
        <w:trPr/>
        <w:tc>
          <w:tcPr>
            <w:tcW w:w="269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    директор    АО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Биробиджаноблгаз»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согласованию);</w:t>
            </w:r>
            <w:r/>
          </w:p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филиала «Электрические сети Еврейской автономной области» АО «Дальневосточная распределительная              сетевая                  компания»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согласованию);</w:t>
            </w:r>
            <w:r/>
          </w:p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6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государственной жилищной инспекции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Еврейской автономной области.».</w:t>
            </w:r>
            <w:r/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  <w:tab/>
        <w:tab/>
        <w:tab/>
        <w:tab/>
        <w:tab/>
        <w:tab/>
        <w:tab/>
        <w:t xml:space="preserve"> Р.Э. Гольдштейн</w:t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/>
      <w:r/>
    </w:p>
    <w:p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11"/>
      <w:footnotePr/>
      <w:endnotePr/>
      <w:type w:val="nextPage"/>
      <w:pgSz w:w="11907" w:h="16839" w:orient="portrait"/>
      <w:pgMar w:top="1134" w:right="851" w:bottom="1134" w:left="1701" w:header="340" w:footer="51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Calibri Light">
    <w:panose1 w:val="020F030202020403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262318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/>
    <w:r/>
  </w:p>
  <w:p>
    <w:pPr>
      <w:pStyle w:val="87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  <w:p>
    <w:pPr>
      <w:pStyle w:val="87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2</w:t>
    </w:r>
    <w:r>
      <w:rPr>
        <w:rFonts w:ascii="Times New Roman" w:hAnsi="Times New Roman" w:cs="Times New Roman"/>
        <w:sz w:val="24"/>
        <w:szCs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6"/>
    <w:link w:val="864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3"/>
    <w:next w:val="863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6"/>
    <w:link w:val="693"/>
    <w:uiPriority w:val="9"/>
    <w:rPr>
      <w:rFonts w:ascii="Arial" w:hAnsi="Arial" w:eastAsia="Arial" w:cs="Arial"/>
      <w:sz w:val="34"/>
    </w:rPr>
  </w:style>
  <w:style w:type="character" w:styleId="695">
    <w:name w:val="Heading 3 Char"/>
    <w:basedOn w:val="866"/>
    <w:link w:val="865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3"/>
    <w:next w:val="86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3"/>
    <w:next w:val="863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6"/>
    <w:link w:val="709"/>
    <w:uiPriority w:val="10"/>
    <w:rPr>
      <w:sz w:val="48"/>
      <w:szCs w:val="48"/>
    </w:rPr>
  </w:style>
  <w:style w:type="paragraph" w:styleId="711">
    <w:name w:val="Subtitle"/>
    <w:basedOn w:val="863"/>
    <w:next w:val="86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6"/>
    <w:link w:val="711"/>
    <w:uiPriority w:val="11"/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6"/>
    <w:link w:val="875"/>
    <w:uiPriority w:val="99"/>
  </w:style>
  <w:style w:type="character" w:styleId="718">
    <w:name w:val="Footer Char"/>
    <w:basedOn w:val="866"/>
    <w:link w:val="877"/>
    <w:uiPriority w:val="99"/>
  </w:style>
  <w:style w:type="paragraph" w:styleId="719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77"/>
    <w:uiPriority w:val="99"/>
  </w:style>
  <w:style w:type="table" w:styleId="721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6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6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pPr>
      <w:widowControl w:val="off"/>
    </w:pPr>
    <w:rPr>
      <w:rFonts w:ascii="Arial" w:hAnsi="Arial" w:cs="Arial"/>
      <w:sz w:val="18"/>
      <w:szCs w:val="18"/>
    </w:rPr>
  </w:style>
  <w:style w:type="paragraph" w:styleId="864">
    <w:name w:val="Heading 1"/>
    <w:basedOn w:val="863"/>
    <w:next w:val="863"/>
    <w:link w:val="869"/>
    <w:uiPriority w:val="99"/>
    <w:qFormat/>
    <w:pPr>
      <w:widowControl/>
      <w:outlineLvl w:val="0"/>
    </w:pPr>
    <w:rPr>
      <w:rFonts w:ascii="Times New Roman CYR" w:hAnsi="Times New Roman CYR" w:cs="Times New Roman"/>
      <w:sz w:val="24"/>
      <w:szCs w:val="24"/>
    </w:rPr>
  </w:style>
  <w:style w:type="paragraph" w:styleId="865">
    <w:name w:val="Heading 3"/>
    <w:basedOn w:val="863"/>
    <w:next w:val="863"/>
    <w:link w:val="87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Заголовок 1 Знак"/>
    <w:link w:val="864"/>
    <w:uiPriority w:val="99"/>
    <w:rPr>
      <w:rFonts w:ascii="Times New Roman CYR" w:hAnsi="Times New Roman CYR" w:cs="Times New Roman"/>
      <w:sz w:val="24"/>
      <w:szCs w:val="24"/>
    </w:rPr>
  </w:style>
  <w:style w:type="character" w:styleId="870" w:customStyle="1">
    <w:name w:val="Заголовок 3 Знак"/>
    <w:link w:val="865"/>
    <w:uiPriority w:val="9"/>
    <w:semiHidden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871" w:customStyle="1">
    <w:name w:val="Heading"/>
    <w:uiPriority w:val="99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872" w:customStyle="1">
    <w:name w:val="Preformat"/>
    <w:uiPriority w:val="99"/>
    <w:pPr>
      <w:widowControl w:val="off"/>
    </w:pPr>
    <w:rPr>
      <w:rFonts w:ascii="Courier New" w:hAnsi="Courier New" w:cs="Courier New"/>
    </w:rPr>
  </w:style>
  <w:style w:type="character" w:styleId="87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styleId="874" w:customStyle="1">
    <w:name w:val="Context"/>
    <w:uiPriority w:val="99"/>
    <w:pPr>
      <w:widowControl w:val="off"/>
    </w:pPr>
    <w:rPr>
      <w:rFonts w:ascii="Arial" w:hAnsi="Arial" w:cs="Arial"/>
      <w:sz w:val="18"/>
      <w:szCs w:val="18"/>
    </w:rPr>
  </w:style>
  <w:style w:type="paragraph" w:styleId="875">
    <w:name w:val="Header"/>
    <w:basedOn w:val="863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link w:val="875"/>
    <w:uiPriority w:val="99"/>
    <w:rPr>
      <w:rFonts w:ascii="Arial" w:hAnsi="Arial" w:cs="Arial"/>
      <w:sz w:val="18"/>
      <w:szCs w:val="18"/>
    </w:rPr>
  </w:style>
  <w:style w:type="paragraph" w:styleId="877">
    <w:name w:val="Footer"/>
    <w:basedOn w:val="863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link w:val="877"/>
    <w:uiPriority w:val="99"/>
    <w:rPr>
      <w:rFonts w:ascii="Arial" w:hAnsi="Arial" w:cs="Arial"/>
      <w:sz w:val="18"/>
      <w:szCs w:val="18"/>
    </w:rPr>
  </w:style>
  <w:style w:type="paragraph" w:styleId="879">
    <w:name w:val="Balloon Text"/>
    <w:basedOn w:val="863"/>
    <w:link w:val="880"/>
    <w:uiPriority w:val="99"/>
    <w:semiHidden/>
    <w:unhideWhenUsed/>
    <w:rPr>
      <w:rFonts w:ascii="Segoe UI" w:hAnsi="Segoe UI" w:cs="Segoe UI"/>
    </w:rPr>
  </w:style>
  <w:style w:type="character" w:styleId="880" w:customStyle="1">
    <w:name w:val="Текст выноски Знак"/>
    <w:link w:val="879"/>
    <w:uiPriority w:val="99"/>
    <w:semiHidden/>
    <w:rPr>
      <w:rFonts w:ascii="Segoe UI" w:hAnsi="Segoe UI" w:cs="Segoe UI"/>
      <w:sz w:val="18"/>
      <w:szCs w:val="18"/>
    </w:rPr>
  </w:style>
  <w:style w:type="table" w:styleId="881">
    <w:name w:val="Table Grid"/>
    <w:basedOn w:val="867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2" w:customStyle="1">
    <w:name w:val="Обычный1"/>
    <w:rPr>
      <w:rFonts w:ascii="Times New Roman" w:hAnsi="Times New Roman"/>
      <w:sz w:val="28"/>
    </w:rPr>
  </w:style>
  <w:style w:type="paragraph" w:styleId="883" w:customStyle="1">
    <w:name w:val="ConsPlusNormal"/>
    <w:pPr>
      <w:widowControl w:val="off"/>
    </w:pPr>
    <w:rPr>
      <w:rFonts w:cs="Calibri"/>
      <w:sz w:val="22"/>
    </w:rPr>
  </w:style>
  <w:style w:type="paragraph" w:styleId="884" w:customStyle="1">
    <w:name w:val="ConsPlusTitle"/>
    <w:pPr>
      <w:widowControl w:val="off"/>
    </w:pPr>
    <w:rPr>
      <w:rFonts w:cs="Calibri"/>
      <w:b/>
      <w:sz w:val="22"/>
    </w:rPr>
  </w:style>
  <w:style w:type="paragraph" w:styleId="885">
    <w:name w:val="List Paragraph"/>
    <w:basedOn w:val="863"/>
    <w:uiPriority w:val="34"/>
    <w:qFormat/>
    <w:pPr>
      <w:contextualSpacing/>
      <w:ind w:left="720"/>
      <w:spacing w:after="200" w:line="276" w:lineRule="auto"/>
      <w:widowControl/>
    </w:pPr>
    <w:rPr>
      <w:rFonts w:cs="Times New Roman" w:asciiTheme="minorHAnsi" w:hAnsiTheme="minorHAnsi"/>
      <w:sz w:val="22"/>
      <w:szCs w:val="22"/>
      <w:lang w:val="en-US"/>
    </w:rPr>
  </w:style>
  <w:style w:type="character" w:styleId="886" w:customStyle="1">
    <w:name w:val="extended-text__full"/>
    <w:basedOn w:val="86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44D20D643E39F3B0775C6BC10651DF65E27C5C351A938BE01423B3026FD60A9E38996061B2C0A06E0031A65AFEFA819DD16992050409154E9F3C4FL6MB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86E7-5A85-496C-8B02-57A4F128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Марина Михайловна</dc:creator>
  <cp:keywords/>
  <dc:description/>
  <cp:revision>13</cp:revision>
  <dcterms:created xsi:type="dcterms:W3CDTF">2021-02-09T07:11:00Z</dcterms:created>
  <dcterms:modified xsi:type="dcterms:W3CDTF">2023-04-11T00:02:10Z</dcterms:modified>
</cp:coreProperties>
</file>